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17968" w:rsidRPr="002179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7968" w:rsidRPr="00217968" w:rsidRDefault="00217968" w:rsidP="00217968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21796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京元电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21796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年上半年合并损益表，每股盈余</w:t>
            </w:r>
            <w:r w:rsidRPr="0021796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0.21</w:t>
            </w:r>
            <w:r w:rsidRPr="00217968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元</w:t>
            </w:r>
          </w:p>
          <w:p w:rsidR="00217968" w:rsidRPr="00217968" w:rsidRDefault="00217968" w:rsidP="00217968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217968" w:rsidRPr="0021796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39"/>
            </w:tblGrid>
            <w:tr w:rsidR="00217968" w:rsidRPr="0021796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17968" w:rsidRPr="00217968" w:rsidRDefault="00217968" w:rsidP="00217968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京元电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(2449) </w:t>
                  </w:r>
                  <w:r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 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上半年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 </w:t>
                  </w:r>
                  <w:r w:rsidRPr="00217968">
                    <w:rPr>
                      <w:rFonts w:ascii="sөũ" w:eastAsia="宋体" w:hAnsi="sөũ" w:cs="宋体" w:hint="eastAsia"/>
                      <w:b/>
                      <w:bCs/>
                      <w:spacing w:val="15"/>
                      <w:kern w:val="0"/>
                      <w:sz w:val="18"/>
                      <w:szCs w:val="18"/>
                    </w:rPr>
                    <w:t>合并损益表</w:t>
                  </w:r>
                </w:p>
              </w:tc>
            </w:tr>
            <w:tr w:rsidR="00217968" w:rsidRPr="0021796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683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617"/>
                    <w:gridCol w:w="1307"/>
                    <w:gridCol w:w="726"/>
                    <w:gridCol w:w="1307"/>
                    <w:gridCol w:w="726"/>
                  </w:tblGrid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2010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年及</w:t>
                        </w:r>
                        <w:r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2011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单位：新台币仟元</w:t>
                        </w:r>
                      </w:p>
                    </w:tc>
                  </w:tr>
                  <w:tr w:rsidR="00217968" w:rsidRPr="00217968" w:rsidTr="008136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会计科目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2010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2011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金额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金额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％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销货收入总额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7,794,483.00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8,587,477.00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销货收入净额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7,794,483.00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8,587,477.00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营业收入合计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7,794,483.00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8,587,477.00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销货成本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6,513,458.00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6,804,741.00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79.24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营业成本合计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6,513,458.00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6,804,741.00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79.24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营业毛利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毛损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1,281,025.00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16.44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1,782,736.00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20.76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推销费用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108,283.00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98,658.00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1.15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管理及总务费用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541,844.00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531,731.00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6.19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研究发展费用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246,449.00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219,167.00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2.55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营业费用合计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896,576.00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11.50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849,556.00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9.89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营业净利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384,449.00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4.93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933,180.00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10.87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营业外收入及利益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利息收入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19,208.00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7,038.00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0.08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投资收益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权益法认列之投资收益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处分固定资产利益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15,643.00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8,250.00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0.10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兑换利益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83,909.00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50,810.00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0.59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租金收入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58,054.00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127,656.00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1.49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金融负债评价利益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3,012.00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什项收入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27,155.00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20,106.00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0.23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营业外收入及利益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206,988.00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213,860.00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2.49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营业外费用及损失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利息费用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89,588.00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105,024.00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1.22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什项支出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63,102.00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99,909.00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1.16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营业外费用及损失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152,690.00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204,933.00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2.39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继续营业单位税前净利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438,747.00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5.63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942,107.00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10.97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所得税费用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利益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2.31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继续营业单位净利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288,747.00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744,107.00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8.67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合并净损益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268,000.00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814,375.00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9.48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少数股权损益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20,747.00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-70,268.00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-0.82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合并总损益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288,747.00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3.70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744,107.00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8.67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基本每股盈余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基本每股盈余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稀释每股盈余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17968" w:rsidRPr="00217968" w:rsidTr="00813640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稀释每股盈余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7968" w:rsidRPr="00217968" w:rsidRDefault="00217968" w:rsidP="00217968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217968">
                          <w:rPr>
                            <w:rFonts w:ascii="sөũ" w:eastAsia="宋体" w:hAnsi="sөũ" w:cs="宋体" w:hint="eastAsia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</w:tbl>
                <w:p w:rsidR="00217968" w:rsidRPr="00217968" w:rsidRDefault="00217968" w:rsidP="00217968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17968" w:rsidRPr="00217968" w:rsidRDefault="00217968" w:rsidP="00217968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991C36" w:rsidRDefault="00991C36"/>
    <w:sectPr w:rsidR="0099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36" w:rsidRDefault="00991C36" w:rsidP="00217968">
      <w:r>
        <w:separator/>
      </w:r>
    </w:p>
  </w:endnote>
  <w:endnote w:type="continuationSeparator" w:id="1">
    <w:p w:rsidR="00991C36" w:rsidRDefault="00991C36" w:rsidP="0021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36" w:rsidRDefault="00991C36" w:rsidP="00217968">
      <w:r>
        <w:separator/>
      </w:r>
    </w:p>
  </w:footnote>
  <w:footnote w:type="continuationSeparator" w:id="1">
    <w:p w:rsidR="00991C36" w:rsidRDefault="00991C36" w:rsidP="00217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68"/>
    <w:rsid w:val="00217968"/>
    <w:rsid w:val="00813640"/>
    <w:rsid w:val="0099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>ChinaFlashMarket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12</cp:revision>
  <dcterms:created xsi:type="dcterms:W3CDTF">2011-08-16T07:29:00Z</dcterms:created>
  <dcterms:modified xsi:type="dcterms:W3CDTF">2011-08-16T07:31:00Z</dcterms:modified>
</cp:coreProperties>
</file>