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4F" w:rsidRPr="003156B2" w:rsidRDefault="003156B2" w:rsidP="00513DC0">
      <w:pPr>
        <w:widowControl/>
        <w:spacing w:before="100" w:beforeAutospacing="1" w:after="180"/>
        <w:jc w:val="center"/>
        <w:outlineLvl w:val="1"/>
        <w:rPr>
          <w:rFonts w:ascii="Arial" w:eastAsia="宋体" w:hAnsi="Arial" w:cs="Arial"/>
          <w:b/>
          <w:color w:val="444444"/>
          <w:kern w:val="0"/>
          <w:sz w:val="28"/>
          <w:szCs w:val="28"/>
        </w:rPr>
      </w:pPr>
      <w:r w:rsidRPr="003156B2">
        <w:rPr>
          <w:rFonts w:ascii="Arial" w:eastAsia="宋体" w:hAnsi="Arial" w:cs="Arial"/>
          <w:b/>
          <w:color w:val="444444"/>
          <w:kern w:val="0"/>
          <w:sz w:val="28"/>
          <w:szCs w:val="28"/>
        </w:rPr>
        <w:t xml:space="preserve">Micron </w:t>
      </w:r>
      <w:r w:rsidR="00DE3F4F" w:rsidRPr="003156B2">
        <w:rPr>
          <w:rFonts w:ascii="Arial" w:eastAsia="宋体" w:hAnsi="Arial" w:cs="Arial"/>
          <w:b/>
          <w:color w:val="444444"/>
          <w:kern w:val="0"/>
          <w:sz w:val="28"/>
          <w:szCs w:val="28"/>
        </w:rPr>
        <w:t>Reports Results for the First Quarter of Fiscal 2012</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BOISE, Idaho, Dec. 21, 2011 (GLOBE NEWSWIRE) -- Micron Technology, Inc., (Nasdaq:MU) today announced results of operations for its first quarter of fiscal 2012, which ended December 1, 2011. For the first quarter, the company had a net loss attributable to Micron shareholders of $187 million, or $0.19 per diluted share, on net sales of $2.1 billion. The results for the first quarter of fiscal 2012 compare to a net loss of $135 million, or $0.14 per diluted share, on net sales of $2.1 billion for the fourth quarter of fiscal 2011, and net income of $155 million, or $0.15 per diluted share, on net sales of $2.3 billion for the first quarter of fiscal 2011.</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The company's consolidated gross margin remained at 15 percent for the first quarter of fiscal 2012. Improvements in NAND Flash margins were offset by declines in DRAM. Revenue from sales of NAND Flash products was 6 percent higher in the first quarter of fiscal 2012 compared to the fourth quarter of fiscal 2011 due to an 18 percent increase in sales volume partially offset by a 10 percent decrease in average selling prices. Revenue from sales of DRAM products was essentially unchanged in the first quarter of fiscal 2012 compared to the previous quarter, as a 14 percent increase sales volume was offset by a 12 percent decrease in average selling prices. Sales of NOR Flash products were approximately 14 percent of total net sales for the first quarter of fiscal 2012.</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Cash flows from operations for the first quarter of fiscal 2012 were $404 million. During the first quarter of fiscal 2012, the company invested approximately $750 million in capital expenditures. The company ended the quarter with cash and short-term investments of $1.9 billion.</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 xml:space="preserve">The company will host a conference call Wednesday, Dec. 21 at 2:30 p.m. MST to discuss its financial results. The call, audio and slides will be available online at </w:t>
      </w:r>
      <w:hyperlink r:id="rId7" w:tgtFrame="_top" w:history="1">
        <w:r w:rsidRPr="00DE3F4F">
          <w:rPr>
            <w:rFonts w:ascii="Arial" w:eastAsia="宋体" w:hAnsi="Arial" w:cs="Arial"/>
            <w:color w:val="000099"/>
            <w:kern w:val="0"/>
            <w:sz w:val="18"/>
            <w:szCs w:val="18"/>
            <w:u w:val="single"/>
          </w:rPr>
          <w:t>http://investors.micron.com/events.cfm</w:t>
        </w:r>
      </w:hyperlink>
      <w:r w:rsidRPr="00DE3F4F">
        <w:rPr>
          <w:rFonts w:ascii="Arial" w:eastAsia="宋体" w:hAnsi="Arial" w:cs="Arial"/>
          <w:color w:val="444444"/>
          <w:kern w:val="0"/>
          <w:sz w:val="18"/>
          <w:szCs w:val="18"/>
        </w:rPr>
        <w:t>. A webcast replay will be available on the company's website until Dec. 28, 2012. A taped audio replay of the conference call will also be available at (404) 537-3406 (conference number: 37217947) beginning at 5:30 p.m. MST Wednesday, Dec. 21, 2011 and continuing until 5:30 p.m. MST on Wednesday, Dec. 28, 2011.</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 xml:space="preserve">Micron Technology, Inc., is one of the world's leading providers of advanced semiconductor solutions. Through its worldwide operations, Micron manufactures and markets a full range of DRAM, NAND Flash and NOR Flash memory, as well as other innovative memory technologies, packaging solutions and semiconductor systems for use in leading-edge computing, consumer, networking, embedded and mobile products. Micron's common stock is traded on the NASDAQ under the MU symbol. To learn more about Micron Technology, Inc., visit </w:t>
      </w:r>
      <w:hyperlink r:id="rId8" w:tgtFrame="_top" w:history="1">
        <w:r w:rsidRPr="00DE3F4F">
          <w:rPr>
            <w:rFonts w:ascii="Arial" w:eastAsia="宋体" w:hAnsi="Arial" w:cs="Arial"/>
            <w:color w:val="000099"/>
            <w:kern w:val="0"/>
            <w:sz w:val="18"/>
            <w:szCs w:val="18"/>
            <w:u w:val="single"/>
          </w:rPr>
          <w:t>www.micron.com</w:t>
        </w:r>
      </w:hyperlink>
      <w:r w:rsidRPr="00DE3F4F">
        <w:rPr>
          <w:rFonts w:ascii="Arial" w:eastAsia="宋体" w:hAnsi="Arial" w:cs="Arial"/>
          <w:color w:val="444444"/>
          <w:kern w:val="0"/>
          <w:sz w:val="18"/>
          <w:szCs w:val="18"/>
        </w:rPr>
        <w:t>.</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 xml:space="preserve">The Micron Technology, Inc. logo is available at </w:t>
      </w:r>
      <w:hyperlink r:id="rId9" w:tgtFrame="_top" w:history="1">
        <w:r w:rsidRPr="00DE3F4F">
          <w:rPr>
            <w:rFonts w:ascii="Arial" w:eastAsia="宋体" w:hAnsi="Arial" w:cs="Arial"/>
            <w:color w:val="000099"/>
            <w:kern w:val="0"/>
            <w:sz w:val="18"/>
            <w:szCs w:val="18"/>
            <w:u w:val="single"/>
          </w:rPr>
          <w:t>http://www.globenewswire.com/newsroom/prs/?pkgid=6950</w:t>
        </w:r>
      </w:hyperlink>
    </w:p>
    <w:tbl>
      <w:tblPr>
        <w:tblW w:w="5000" w:type="pct"/>
        <w:tblCellMar>
          <w:left w:w="0" w:type="dxa"/>
          <w:right w:w="0" w:type="dxa"/>
        </w:tblCellMar>
        <w:tblLook w:val="04A0"/>
      </w:tblPr>
      <w:tblGrid>
        <w:gridCol w:w="5284"/>
        <w:gridCol w:w="1016"/>
        <w:gridCol w:w="1124"/>
        <w:gridCol w:w="1107"/>
      </w:tblGrid>
      <w:tr w:rsidR="00DE3F4F" w:rsidRPr="00DE3F4F" w:rsidTr="00DE3F4F">
        <w:tc>
          <w:tcPr>
            <w:tcW w:w="0" w:type="auto"/>
            <w:gridSpan w:val="4"/>
            <w:tcMar>
              <w:top w:w="60" w:type="dxa"/>
              <w:left w:w="75" w:type="dxa"/>
              <w:bottom w:w="60" w:type="dxa"/>
              <w:right w:w="150" w:type="dxa"/>
            </w:tcMar>
            <w:vAlign w:val="center"/>
            <w:hideMark/>
          </w:tcPr>
          <w:p w:rsidR="00DE3F4F" w:rsidRPr="003156B2" w:rsidRDefault="00DE3F4F" w:rsidP="003156B2">
            <w:pPr>
              <w:pStyle w:val="a9"/>
              <w:jc w:val="center"/>
            </w:pPr>
            <w:r w:rsidRPr="003156B2">
              <w:t>MICRON TECHNOLOGY, INC.</w:t>
            </w:r>
          </w:p>
        </w:tc>
      </w:tr>
      <w:tr w:rsidR="00DE3F4F" w:rsidRPr="00DE3F4F" w:rsidTr="00DE3F4F">
        <w:tc>
          <w:tcPr>
            <w:tcW w:w="0" w:type="auto"/>
            <w:gridSpan w:val="4"/>
            <w:tcMar>
              <w:top w:w="60" w:type="dxa"/>
              <w:left w:w="75" w:type="dxa"/>
              <w:bottom w:w="60" w:type="dxa"/>
              <w:right w:w="150" w:type="dxa"/>
            </w:tcMar>
            <w:vAlign w:val="center"/>
            <w:hideMark/>
          </w:tcPr>
          <w:p w:rsidR="00DE3F4F" w:rsidRPr="003156B2" w:rsidRDefault="00DE3F4F" w:rsidP="003156B2">
            <w:pPr>
              <w:pStyle w:val="a9"/>
              <w:jc w:val="center"/>
            </w:pPr>
            <w:r w:rsidRPr="003156B2">
              <w:t>CONSOLIDATED FINANCIAL SUMMARY</w:t>
            </w:r>
          </w:p>
        </w:tc>
      </w:tr>
      <w:tr w:rsidR="00DE3F4F" w:rsidRPr="00DE3F4F" w:rsidTr="00DE3F4F">
        <w:tc>
          <w:tcPr>
            <w:tcW w:w="0" w:type="auto"/>
            <w:gridSpan w:val="4"/>
            <w:tcMar>
              <w:top w:w="60" w:type="dxa"/>
              <w:left w:w="75" w:type="dxa"/>
              <w:bottom w:w="60" w:type="dxa"/>
              <w:right w:w="150" w:type="dxa"/>
            </w:tcMar>
            <w:vAlign w:val="center"/>
            <w:hideMark/>
          </w:tcPr>
          <w:p w:rsidR="00DE3F4F" w:rsidRPr="003156B2" w:rsidRDefault="00DE3F4F" w:rsidP="003156B2">
            <w:pPr>
              <w:pStyle w:val="a9"/>
              <w:jc w:val="center"/>
            </w:pPr>
            <w:r w:rsidRPr="003156B2">
              <w:lastRenderedPageBreak/>
              <w:t>(in millions except per share amounts)</w:t>
            </w:r>
          </w:p>
        </w:tc>
      </w:tr>
      <w:tr w:rsidR="00DE3F4F" w:rsidRPr="00DE3F4F" w:rsidTr="00DE3F4F">
        <w:tc>
          <w:tcPr>
            <w:tcW w:w="0" w:type="auto"/>
            <w:tcMar>
              <w:top w:w="60" w:type="dxa"/>
              <w:left w:w="75" w:type="dxa"/>
              <w:bottom w:w="60" w:type="dxa"/>
              <w:right w:w="150" w:type="dxa"/>
            </w:tcMar>
            <w:vAlign w:val="bottom"/>
            <w:hideMark/>
          </w:tcPr>
          <w:p w:rsidR="00DE3F4F" w:rsidRPr="003156B2" w:rsidRDefault="00DE3F4F" w:rsidP="003156B2">
            <w:pPr>
              <w:pStyle w:val="a9"/>
              <w:jc w:val="center"/>
              <w:rPr>
                <w:szCs w:val="18"/>
              </w:rPr>
            </w:pPr>
          </w:p>
        </w:tc>
        <w:tc>
          <w:tcPr>
            <w:tcW w:w="0" w:type="auto"/>
            <w:tcMar>
              <w:top w:w="60" w:type="dxa"/>
              <w:left w:w="75" w:type="dxa"/>
              <w:bottom w:w="60" w:type="dxa"/>
              <w:right w:w="150" w:type="dxa"/>
            </w:tcMar>
            <w:vAlign w:val="bottom"/>
            <w:hideMark/>
          </w:tcPr>
          <w:p w:rsidR="00DE3F4F" w:rsidRPr="003156B2" w:rsidRDefault="00DE3F4F" w:rsidP="003156B2">
            <w:pPr>
              <w:pStyle w:val="a9"/>
              <w:jc w:val="center"/>
              <w:rPr>
                <w:szCs w:val="18"/>
              </w:rPr>
            </w:pPr>
          </w:p>
        </w:tc>
        <w:tc>
          <w:tcPr>
            <w:tcW w:w="0" w:type="auto"/>
            <w:tcMar>
              <w:top w:w="60" w:type="dxa"/>
              <w:left w:w="75" w:type="dxa"/>
              <w:bottom w:w="60" w:type="dxa"/>
              <w:right w:w="150" w:type="dxa"/>
            </w:tcMar>
            <w:vAlign w:val="bottom"/>
            <w:hideMark/>
          </w:tcPr>
          <w:p w:rsidR="00DE3F4F" w:rsidRPr="003156B2" w:rsidRDefault="00DE3F4F" w:rsidP="003156B2">
            <w:pPr>
              <w:pStyle w:val="a9"/>
              <w:jc w:val="center"/>
              <w:rPr>
                <w:szCs w:val="18"/>
              </w:rPr>
            </w:pP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3156B2" w:rsidRDefault="00DE3F4F" w:rsidP="003156B2">
            <w:pPr>
              <w:pStyle w:val="a9"/>
              <w:jc w:val="center"/>
              <w:rPr>
                <w:szCs w:val="18"/>
              </w:rPr>
            </w:pPr>
          </w:p>
        </w:tc>
        <w:tc>
          <w:tcPr>
            <w:tcW w:w="0" w:type="auto"/>
            <w:tcBorders>
              <w:bottom w:val="single" w:sz="8" w:space="0" w:color="000000"/>
            </w:tcBorders>
            <w:noWrap/>
            <w:tcMar>
              <w:top w:w="60" w:type="dxa"/>
              <w:left w:w="75" w:type="dxa"/>
              <w:bottom w:w="60" w:type="dxa"/>
              <w:right w:w="150" w:type="dxa"/>
            </w:tcMar>
            <w:vAlign w:val="bottom"/>
            <w:hideMark/>
          </w:tcPr>
          <w:p w:rsidR="00DE3F4F" w:rsidRPr="003156B2" w:rsidRDefault="00DE3F4F" w:rsidP="003156B2">
            <w:pPr>
              <w:pStyle w:val="a9"/>
              <w:jc w:val="center"/>
              <w:rPr>
                <w:szCs w:val="18"/>
              </w:rPr>
            </w:pPr>
            <w:r w:rsidRPr="003156B2">
              <w:t xml:space="preserve">1st Qtr. </w:t>
            </w:r>
            <w:r w:rsidRPr="003156B2">
              <w:rPr>
                <w:szCs w:val="18"/>
              </w:rPr>
              <w:br/>
            </w:r>
            <w:r w:rsidRPr="003156B2">
              <w:t xml:space="preserve">Dec. 1, </w:t>
            </w:r>
            <w:r w:rsidRPr="003156B2">
              <w:rPr>
                <w:szCs w:val="18"/>
              </w:rPr>
              <w:br/>
            </w:r>
            <w:r w:rsidRPr="003156B2">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3156B2" w:rsidRDefault="00DE3F4F" w:rsidP="003156B2">
            <w:pPr>
              <w:pStyle w:val="a9"/>
              <w:jc w:val="center"/>
              <w:rPr>
                <w:szCs w:val="18"/>
              </w:rPr>
            </w:pPr>
            <w:r w:rsidRPr="003156B2">
              <w:t xml:space="preserve">4th Qtr. </w:t>
            </w:r>
            <w:r w:rsidRPr="003156B2">
              <w:rPr>
                <w:szCs w:val="18"/>
              </w:rPr>
              <w:br/>
            </w:r>
            <w:r w:rsidRPr="003156B2">
              <w:t xml:space="preserve">Sep. 1, </w:t>
            </w:r>
            <w:r w:rsidRPr="003156B2">
              <w:rPr>
                <w:szCs w:val="18"/>
              </w:rPr>
              <w:br/>
            </w:r>
            <w:r w:rsidRPr="003156B2">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1st Qtr. </w:t>
            </w:r>
            <w:r w:rsidRPr="00DE3F4F">
              <w:rPr>
                <w:kern w:val="0"/>
                <w:sz w:val="18"/>
                <w:szCs w:val="18"/>
              </w:rPr>
              <w:br/>
            </w:r>
            <w:r w:rsidRPr="00DE3F4F">
              <w:rPr>
                <w:kern w:val="0"/>
                <w:sz w:val="18"/>
              </w:rPr>
              <w:t xml:space="preserve">Dec. 2, </w:t>
            </w:r>
            <w:r w:rsidRPr="00DE3F4F">
              <w:rPr>
                <w:kern w:val="0"/>
                <w:sz w:val="18"/>
                <w:szCs w:val="18"/>
              </w:rPr>
              <w:br/>
            </w:r>
            <w:r w:rsidRPr="00DE3F4F">
              <w:rPr>
                <w:kern w:val="0"/>
                <w:sz w:val="18"/>
              </w:rPr>
              <w:t>2010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sales </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$2,090</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$2,140</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$2,252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Cost of goods sold</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1,785</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1,819</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1,728</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Gross margin</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305</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321</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524</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Selling, general and administrative </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151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155</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Research and development </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230</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209</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185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Other operating (income) expense, net (1) </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8</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(191)</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Operating income (loss)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(82)</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(51)</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390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Interest income (expense), net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(33)</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(28)</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(30)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Other non-operating income (expense), net (2)</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(114)</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Income tax (provision) benefit (3)</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(16)</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(48)</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Equity in net income (losses) of equity method investees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(74)</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(40)</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(26)</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(income) loss attributable to noncontrolling interests</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(17)</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income (loss) attributable to Micron</w:t>
            </w:r>
          </w:p>
        </w:tc>
        <w:tc>
          <w:tcPr>
            <w:tcW w:w="0" w:type="auto"/>
            <w:tcBorders>
              <w:bottom w:val="double" w:sz="6"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(187)</w:t>
            </w:r>
          </w:p>
        </w:tc>
        <w:tc>
          <w:tcPr>
            <w:tcW w:w="0" w:type="auto"/>
            <w:tcBorders>
              <w:bottom w:val="double" w:sz="6" w:space="0" w:color="000000"/>
            </w:tcBorders>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(135)</w:t>
            </w:r>
          </w:p>
        </w:tc>
        <w:tc>
          <w:tcPr>
            <w:tcW w:w="0" w:type="auto"/>
            <w:tcBorders>
              <w:bottom w:val="double" w:sz="6" w:space="0" w:color="000000"/>
            </w:tcBorders>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$155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Earnings (loss) per share:</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Basic</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(0.19)</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(0.14)</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$0.16</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Diluted</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(0.19)</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(0.14)</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0.15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Number of shares used in per share calculations:</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Basic</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981.4</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992.2</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972.9</w:t>
            </w:r>
          </w:p>
        </w:tc>
      </w:tr>
      <w:tr w:rsidR="00DE3F4F" w:rsidRPr="00DE3F4F" w:rsidTr="00DE3F4F">
        <w:tc>
          <w:tcPr>
            <w:tcW w:w="0" w:type="auto"/>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Diluted</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981.4</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992.2</w:t>
            </w:r>
          </w:p>
        </w:tc>
        <w:tc>
          <w:tcPr>
            <w:tcW w:w="0" w:type="auto"/>
            <w:noWrap/>
            <w:tcMar>
              <w:top w:w="60" w:type="dxa"/>
              <w:left w:w="22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1,031.3</w:t>
            </w:r>
          </w:p>
        </w:tc>
      </w:tr>
    </w:tbl>
    <w:p w:rsidR="00DE3F4F" w:rsidRPr="00DE3F4F" w:rsidRDefault="00DE3F4F" w:rsidP="003156B2">
      <w:pPr>
        <w:pStyle w:val="a9"/>
        <w:rPr>
          <w:vanish/>
          <w:kern w:val="0"/>
          <w:sz w:val="14"/>
          <w:szCs w:val="14"/>
        </w:rPr>
      </w:pPr>
    </w:p>
    <w:tbl>
      <w:tblPr>
        <w:tblW w:w="5000" w:type="pct"/>
        <w:tblCellMar>
          <w:left w:w="0" w:type="dxa"/>
          <w:right w:w="0" w:type="dxa"/>
        </w:tblCellMar>
        <w:tblLook w:val="04A0"/>
      </w:tblPr>
      <w:tblGrid>
        <w:gridCol w:w="6463"/>
        <w:gridCol w:w="1034"/>
        <w:gridCol w:w="1034"/>
      </w:tblGrid>
      <w:tr w:rsidR="00DE3F4F" w:rsidRPr="00DE3F4F" w:rsidTr="00DE3F4F">
        <w:tc>
          <w:tcPr>
            <w:tcW w:w="0" w:type="auto"/>
            <w:gridSpan w:val="3"/>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gridSpan w:val="3"/>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CONSOLIDATED FINANCIAL SUMMARY, Continued</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gridSpan w:val="2"/>
            <w:tcMar>
              <w:top w:w="60" w:type="dxa"/>
              <w:left w:w="75" w:type="dxa"/>
              <w:bottom w:w="60" w:type="dxa"/>
              <w:right w:w="150" w:type="dxa"/>
            </w:tcMar>
            <w:vAlign w:val="center"/>
            <w:hideMark/>
          </w:tcPr>
          <w:p w:rsidR="00DE3F4F" w:rsidRPr="00DE3F4F" w:rsidRDefault="00DE3F4F" w:rsidP="003156B2">
            <w:pPr>
              <w:pStyle w:val="a9"/>
              <w:rPr>
                <w:kern w:val="0"/>
                <w:sz w:val="18"/>
                <w:szCs w:val="18"/>
              </w:rPr>
            </w:pPr>
            <w:r w:rsidRPr="00DE3F4F">
              <w:rPr>
                <w:kern w:val="0"/>
                <w:sz w:val="18"/>
              </w:rPr>
              <w:t>As of</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Dec. 1, </w:t>
            </w:r>
            <w:r w:rsidRPr="00DE3F4F">
              <w:rPr>
                <w:kern w:val="0"/>
                <w:sz w:val="18"/>
                <w:szCs w:val="18"/>
              </w:rPr>
              <w:br/>
            </w:r>
            <w:r w:rsidRPr="00DE3F4F">
              <w:rPr>
                <w:kern w:val="0"/>
                <w:sz w:val="18"/>
              </w:rPr>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Sep. 1, </w:t>
            </w:r>
            <w:r w:rsidRPr="00DE3F4F">
              <w:rPr>
                <w:kern w:val="0"/>
                <w:sz w:val="18"/>
                <w:szCs w:val="18"/>
              </w:rPr>
              <w:br/>
            </w:r>
            <w:r w:rsidRPr="00DE3F4F">
              <w:rPr>
                <w:kern w:val="0"/>
                <w:sz w:val="18"/>
              </w:rPr>
              <w:t>2011</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lastRenderedPageBreak/>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Cash and short-term investments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$1,915</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$2,160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Receivables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1,383</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1,497</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Inventories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2,097</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2,080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Total current assets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5,491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5,832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Property, plant and equipment, net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7,472</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7,555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Total assets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14,211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14,752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Accounts payable and accrued expenses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1,413</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1,830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Current portion of long-term debt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146</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Total current liabilities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2,021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2,480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Long-term debt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1,973</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1,861</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Total Micron shareholders' equity</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8,271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8,470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Noncontrolling interests in subsidiaries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1,438</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1,382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Total equity</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9,709</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9,852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gridSpan w:val="2"/>
            <w:tcMar>
              <w:top w:w="60" w:type="dxa"/>
              <w:left w:w="75" w:type="dxa"/>
              <w:bottom w:w="60" w:type="dxa"/>
              <w:right w:w="150" w:type="dxa"/>
            </w:tcMar>
            <w:vAlign w:val="center"/>
            <w:hideMark/>
          </w:tcPr>
          <w:p w:rsidR="00DE3F4F" w:rsidRPr="00DE3F4F" w:rsidRDefault="00DE3F4F" w:rsidP="003156B2">
            <w:pPr>
              <w:pStyle w:val="a9"/>
              <w:rPr>
                <w:kern w:val="0"/>
                <w:sz w:val="18"/>
                <w:szCs w:val="18"/>
              </w:rPr>
            </w:pPr>
            <w:r w:rsidRPr="00DE3F4F">
              <w:rPr>
                <w:kern w:val="0"/>
                <w:sz w:val="18"/>
              </w:rPr>
              <w:t>Three Months Ended</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Dec. 1, </w:t>
            </w:r>
            <w:r w:rsidRPr="00DE3F4F">
              <w:rPr>
                <w:kern w:val="0"/>
                <w:sz w:val="18"/>
                <w:szCs w:val="18"/>
              </w:rPr>
              <w:br/>
            </w:r>
            <w:r w:rsidRPr="00DE3F4F">
              <w:rPr>
                <w:kern w:val="0"/>
                <w:sz w:val="18"/>
              </w:rPr>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Dec. 2, </w:t>
            </w:r>
            <w:r w:rsidRPr="00DE3F4F">
              <w:rPr>
                <w:kern w:val="0"/>
                <w:sz w:val="18"/>
                <w:szCs w:val="18"/>
              </w:rPr>
              <w:br/>
            </w:r>
            <w:r w:rsidRPr="00DE3F4F">
              <w:rPr>
                <w:kern w:val="0"/>
                <w:sz w:val="18"/>
              </w:rPr>
              <w:t>2010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cash provided by operating activities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$404</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$732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cash used for investing activities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(714)</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(436)</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cash provided by (used for) financing activities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65</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(798)</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Depreciation and amortization</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581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517</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Expenditures for property, plant and equipment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(697)</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(465)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Payments on equipment purchase contracts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(49)</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(105)</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Net contributions from (distributions to) noncontrolling interests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55</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(49)</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Noncash equipment acquisitions on contracts payable and capital leases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192</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63</w:t>
            </w:r>
          </w:p>
        </w:tc>
      </w:tr>
    </w:tbl>
    <w:p w:rsidR="00DE3F4F" w:rsidRPr="00DE3F4F" w:rsidRDefault="00DE3F4F" w:rsidP="003156B2">
      <w:pPr>
        <w:pStyle w:val="a9"/>
        <w:rPr>
          <w:kern w:val="0"/>
          <w:sz w:val="18"/>
          <w:szCs w:val="18"/>
        </w:rPr>
      </w:pPr>
      <w:r w:rsidRPr="00DE3F4F">
        <w:rPr>
          <w:kern w:val="0"/>
          <w:sz w:val="18"/>
          <w:szCs w:val="18"/>
        </w:rPr>
        <w:t>(1) Other operating (income) expense consisted of the following:</w:t>
      </w:r>
    </w:p>
    <w:tbl>
      <w:tblPr>
        <w:tblW w:w="5000" w:type="pct"/>
        <w:tblCellMar>
          <w:left w:w="0" w:type="dxa"/>
          <w:right w:w="0" w:type="dxa"/>
        </w:tblCellMar>
        <w:tblLook w:val="04A0"/>
      </w:tblPr>
      <w:tblGrid>
        <w:gridCol w:w="5588"/>
        <w:gridCol w:w="955"/>
        <w:gridCol w:w="984"/>
        <w:gridCol w:w="1004"/>
      </w:tblGrid>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lastRenderedPageBreak/>
              <w:t> </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1st Qtr. </w:t>
            </w:r>
            <w:r w:rsidRPr="00DE3F4F">
              <w:rPr>
                <w:kern w:val="0"/>
                <w:sz w:val="18"/>
                <w:szCs w:val="18"/>
              </w:rPr>
              <w:br/>
            </w:r>
            <w:r w:rsidRPr="00DE3F4F">
              <w:rPr>
                <w:kern w:val="0"/>
                <w:sz w:val="18"/>
              </w:rPr>
              <w:t xml:space="preserve">Dec. 1, </w:t>
            </w:r>
            <w:r w:rsidRPr="00DE3F4F">
              <w:rPr>
                <w:kern w:val="0"/>
                <w:sz w:val="18"/>
                <w:szCs w:val="18"/>
              </w:rPr>
              <w:br/>
            </w:r>
            <w:r w:rsidRPr="00DE3F4F">
              <w:rPr>
                <w:kern w:val="0"/>
                <w:sz w:val="18"/>
              </w:rPr>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 xml:space="preserve">4th Qtr. </w:t>
            </w:r>
            <w:r w:rsidRPr="00DE3F4F">
              <w:rPr>
                <w:kern w:val="0"/>
                <w:sz w:val="18"/>
                <w:szCs w:val="18"/>
              </w:rPr>
              <w:br/>
            </w:r>
            <w:r w:rsidRPr="00DE3F4F">
              <w:rPr>
                <w:kern w:val="0"/>
                <w:sz w:val="18"/>
              </w:rPr>
              <w:t xml:space="preserve">Sep. 1, </w:t>
            </w:r>
            <w:r w:rsidRPr="00DE3F4F">
              <w:rPr>
                <w:kern w:val="0"/>
                <w:sz w:val="18"/>
                <w:szCs w:val="18"/>
              </w:rPr>
              <w:br/>
            </w:r>
            <w:r w:rsidRPr="00DE3F4F">
              <w:rPr>
                <w:kern w:val="0"/>
                <w:sz w:val="18"/>
              </w:rPr>
              <w:t>2011</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rPr>
              <w:t>1st Qtr. </w:t>
            </w:r>
            <w:r w:rsidRPr="00DE3F4F">
              <w:rPr>
                <w:kern w:val="0"/>
                <w:sz w:val="18"/>
                <w:szCs w:val="18"/>
              </w:rPr>
              <w:br/>
            </w:r>
            <w:r w:rsidRPr="00DE3F4F">
              <w:rPr>
                <w:kern w:val="0"/>
                <w:sz w:val="18"/>
              </w:rPr>
              <w:t xml:space="preserve">Dec. 2, </w:t>
            </w:r>
            <w:r w:rsidRPr="00DE3F4F">
              <w:rPr>
                <w:kern w:val="0"/>
                <w:sz w:val="18"/>
                <w:szCs w:val="18"/>
              </w:rPr>
              <w:br/>
            </w:r>
            <w:r w:rsidRPr="00DE3F4F">
              <w:rPr>
                <w:kern w:val="0"/>
                <w:sz w:val="18"/>
              </w:rPr>
              <w:t>2010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(Gain) loss from changes in currency exchange rates</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$7</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(Gain) loss on disposition of property, plant and equipment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1</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Samsung patent cross-license agreement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w:t>
            </w:r>
          </w:p>
        </w:tc>
        <w:tc>
          <w:tcPr>
            <w:tcW w:w="0" w:type="auto"/>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(200)</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Other </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w:t>
            </w:r>
          </w:p>
        </w:tc>
        <w:tc>
          <w:tcPr>
            <w:tcW w:w="0" w:type="auto"/>
            <w:tcBorders>
              <w:bottom w:val="single" w:sz="8"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2</w:t>
            </w:r>
          </w:p>
        </w:tc>
      </w:tr>
      <w:tr w:rsidR="00DE3F4F" w:rsidRPr="00DE3F4F" w:rsidTr="00DE3F4F">
        <w:tc>
          <w:tcPr>
            <w:tcW w:w="0" w:type="auto"/>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w:t>
            </w:r>
          </w:p>
        </w:tc>
        <w:tc>
          <w:tcPr>
            <w:tcW w:w="0" w:type="auto"/>
            <w:tcBorders>
              <w:bottom w:val="double" w:sz="6"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$6</w:t>
            </w:r>
          </w:p>
        </w:tc>
        <w:tc>
          <w:tcPr>
            <w:tcW w:w="0" w:type="auto"/>
            <w:tcBorders>
              <w:bottom w:val="double" w:sz="6"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$8</w:t>
            </w:r>
          </w:p>
        </w:tc>
        <w:tc>
          <w:tcPr>
            <w:tcW w:w="0" w:type="auto"/>
            <w:tcBorders>
              <w:bottom w:val="double" w:sz="6" w:space="0" w:color="000000"/>
            </w:tcBorders>
            <w:noWrap/>
            <w:tcMar>
              <w:top w:w="60" w:type="dxa"/>
              <w:left w:w="75" w:type="dxa"/>
              <w:bottom w:w="60" w:type="dxa"/>
              <w:right w:w="150" w:type="dxa"/>
            </w:tcMar>
            <w:vAlign w:val="bottom"/>
            <w:hideMark/>
          </w:tcPr>
          <w:p w:rsidR="00DE3F4F" w:rsidRPr="00DE3F4F" w:rsidRDefault="00DE3F4F" w:rsidP="003156B2">
            <w:pPr>
              <w:pStyle w:val="a9"/>
              <w:rPr>
                <w:kern w:val="0"/>
                <w:sz w:val="18"/>
                <w:szCs w:val="18"/>
              </w:rPr>
            </w:pPr>
            <w:r w:rsidRPr="00DE3F4F">
              <w:rPr>
                <w:kern w:val="0"/>
                <w:sz w:val="18"/>
                <w:szCs w:val="18"/>
              </w:rPr>
              <w:t>$ (191)</w:t>
            </w:r>
          </w:p>
        </w:tc>
      </w:tr>
    </w:tbl>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In the first quarter of fiscal 2011, the company entered into a 10-year patent cross-license agreement with Samsung Electronics Co. Ltd. ("Samsung"). Under the agreement, Samsung agreed to pay the company $275 million, of which $200 million was received in the first quarter of fiscal 2011. The license is a life-of-patents license for existing patents and applications, and a 10-year term license for all other patents.</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(2) During the first quarter of fiscal 2011, in connection with a series of debt restructure transactions, the company recognized a loss of $111 million as follows:</w:t>
      </w:r>
    </w:p>
    <w:p w:rsidR="00DE3F4F" w:rsidRPr="00DE3F4F" w:rsidRDefault="00DE3F4F" w:rsidP="00DE3F4F">
      <w:pPr>
        <w:widowControl/>
        <w:numPr>
          <w:ilvl w:val="0"/>
          <w:numId w:val="5"/>
        </w:numPr>
        <w:spacing w:before="100" w:beforeAutospacing="1" w:after="100" w:afterAutospacing="1"/>
        <w:ind w:left="510" w:right="510"/>
        <w:jc w:val="left"/>
        <w:rPr>
          <w:rFonts w:ascii="Arial" w:eastAsia="宋体" w:hAnsi="Arial" w:cs="Arial"/>
          <w:color w:val="444444"/>
          <w:kern w:val="0"/>
          <w:sz w:val="14"/>
          <w:szCs w:val="14"/>
        </w:rPr>
      </w:pPr>
      <w:r w:rsidRPr="00DE3F4F">
        <w:rPr>
          <w:rFonts w:ascii="Arial" w:eastAsia="宋体" w:hAnsi="Arial" w:cs="Arial"/>
          <w:color w:val="444444"/>
          <w:kern w:val="0"/>
          <w:sz w:val="14"/>
          <w:szCs w:val="14"/>
        </w:rPr>
        <w:t>$15 million from the exchange of $175 million in aggregate principal amount of the company's 1.875% Convertible Senior Notes due 2014 (the "2014 Notes") for $175 million in aggregate principal amount of new 1.875% Convertible Senior Notes due 2027;</w:t>
      </w:r>
    </w:p>
    <w:p w:rsidR="00DE3F4F" w:rsidRPr="00DE3F4F" w:rsidRDefault="00DE3F4F" w:rsidP="00DE3F4F">
      <w:pPr>
        <w:widowControl/>
        <w:numPr>
          <w:ilvl w:val="0"/>
          <w:numId w:val="5"/>
        </w:numPr>
        <w:spacing w:before="100" w:beforeAutospacing="1" w:after="100" w:afterAutospacing="1"/>
        <w:ind w:left="510" w:right="510"/>
        <w:jc w:val="left"/>
        <w:rPr>
          <w:rFonts w:ascii="Arial" w:eastAsia="宋体" w:hAnsi="Arial" w:cs="Arial"/>
          <w:color w:val="444444"/>
          <w:kern w:val="0"/>
          <w:sz w:val="14"/>
          <w:szCs w:val="14"/>
        </w:rPr>
      </w:pPr>
      <w:r w:rsidRPr="00DE3F4F">
        <w:rPr>
          <w:rFonts w:ascii="Arial" w:eastAsia="宋体" w:hAnsi="Arial" w:cs="Arial"/>
          <w:color w:val="444444"/>
          <w:kern w:val="0"/>
          <w:sz w:val="14"/>
          <w:szCs w:val="14"/>
        </w:rPr>
        <w:t>$17 million (including transaction fees) from the repurchase of $176 million in aggregate principal amount of the company's 2014 Notes for $171 million in cash; and</w:t>
      </w:r>
    </w:p>
    <w:p w:rsidR="00DE3F4F" w:rsidRPr="00DE3F4F" w:rsidRDefault="00DE3F4F" w:rsidP="00DE3F4F">
      <w:pPr>
        <w:widowControl/>
        <w:numPr>
          <w:ilvl w:val="0"/>
          <w:numId w:val="5"/>
        </w:numPr>
        <w:spacing w:before="100" w:beforeAutospacing="1" w:after="100" w:afterAutospacing="1"/>
        <w:ind w:left="510" w:right="510"/>
        <w:jc w:val="left"/>
        <w:rPr>
          <w:rFonts w:ascii="Arial" w:eastAsia="宋体" w:hAnsi="Arial" w:cs="Arial"/>
          <w:color w:val="444444"/>
          <w:kern w:val="0"/>
          <w:sz w:val="14"/>
          <w:szCs w:val="14"/>
        </w:rPr>
      </w:pPr>
      <w:r w:rsidRPr="00DE3F4F">
        <w:rPr>
          <w:rFonts w:ascii="Arial" w:eastAsia="宋体" w:hAnsi="Arial" w:cs="Arial"/>
          <w:color w:val="444444"/>
          <w:kern w:val="0"/>
          <w:sz w:val="14"/>
          <w:szCs w:val="14"/>
        </w:rPr>
        <w:t>$79 million (including transaction fees) from the repurchase of $91 million in aggregate principal amount of the company's 4.25% Convertible Senior Notes due 2013 for $166 million in cash.</w:t>
      </w:r>
    </w:p>
    <w:p w:rsidR="00DE3F4F" w:rsidRPr="00DE3F4F" w:rsidRDefault="00DE3F4F" w:rsidP="00DE3F4F">
      <w:pPr>
        <w:widowControl/>
        <w:spacing w:after="360"/>
        <w:jc w:val="left"/>
        <w:rPr>
          <w:rFonts w:ascii="Arial" w:eastAsia="宋体" w:hAnsi="Arial" w:cs="Arial"/>
          <w:color w:val="444444"/>
          <w:kern w:val="0"/>
          <w:sz w:val="18"/>
          <w:szCs w:val="18"/>
        </w:rPr>
      </w:pPr>
      <w:r w:rsidRPr="00DE3F4F">
        <w:rPr>
          <w:rFonts w:ascii="Arial" w:eastAsia="宋体" w:hAnsi="Arial" w:cs="Arial"/>
          <w:color w:val="444444"/>
          <w:kern w:val="0"/>
          <w:sz w:val="18"/>
          <w:szCs w:val="18"/>
        </w:rPr>
        <w:t>(3)   Income taxes for the first quarter of fiscal 2012 included a tax benefit of $14 million related to the favorable resolution of certain prior year tax matters. Income taxes in the first quarter of fiscal 2011 included a charge of $33 million in connection with the receipt of $200 million from Samsung. The company has a valuation allowance for a substantial portion of its net deferred tax asset associated with its U.S. operations. Taxes attributable to U.S. operations in fiscal 2012 and 2011 were substantially offset by changes in the valuation allowance.</w:t>
      </w:r>
    </w:p>
    <w:p w:rsidR="00DE3F4F" w:rsidRPr="00DE3F4F" w:rsidRDefault="00DE3F4F" w:rsidP="008A3021">
      <w:pPr>
        <w:pStyle w:val="a7"/>
        <w:rPr>
          <w:rFonts w:ascii="Arial" w:hAnsi="Arial" w:cs="Arial"/>
          <w:color w:val="444444"/>
        </w:rPr>
      </w:pPr>
    </w:p>
    <w:p w:rsidR="008A3021" w:rsidRPr="008A3021" w:rsidRDefault="008A3021" w:rsidP="008A3021">
      <w:pPr>
        <w:pStyle w:val="a9"/>
      </w:pPr>
    </w:p>
    <w:p w:rsidR="008A3021" w:rsidRPr="008A3021" w:rsidRDefault="008A3021" w:rsidP="008A3021">
      <w:pPr>
        <w:widowControl/>
        <w:jc w:val="left"/>
        <w:rPr>
          <w:rFonts w:ascii="Arial" w:eastAsia="宋体" w:hAnsi="Arial" w:cs="Arial"/>
          <w:vanish/>
          <w:color w:val="444444"/>
          <w:kern w:val="0"/>
          <w:sz w:val="14"/>
          <w:szCs w:val="14"/>
        </w:rPr>
      </w:pPr>
    </w:p>
    <w:tbl>
      <w:tblPr>
        <w:tblW w:w="4956" w:type="pct"/>
        <w:tblInd w:w="75" w:type="dxa"/>
        <w:tblCellMar>
          <w:left w:w="0" w:type="dxa"/>
          <w:right w:w="0" w:type="dxa"/>
        </w:tblCellMar>
        <w:tblLook w:val="04A0"/>
      </w:tblPr>
      <w:tblGrid>
        <w:gridCol w:w="8456"/>
      </w:tblGrid>
      <w:tr w:rsidR="008A3021" w:rsidRPr="008A3021" w:rsidTr="008A3021">
        <w:tc>
          <w:tcPr>
            <w:tcW w:w="5000" w:type="pct"/>
            <w:tcMar>
              <w:top w:w="60" w:type="dxa"/>
              <w:left w:w="75" w:type="dxa"/>
              <w:bottom w:w="60" w:type="dxa"/>
              <w:right w:w="150" w:type="dxa"/>
            </w:tcMar>
            <w:vAlign w:val="center"/>
            <w:hideMark/>
          </w:tcPr>
          <w:p w:rsidR="008A3021" w:rsidRPr="008A3021" w:rsidRDefault="008A3021" w:rsidP="008A3021">
            <w:pPr>
              <w:widowControl/>
              <w:spacing w:after="336"/>
              <w:jc w:val="left"/>
              <w:rPr>
                <w:rFonts w:ascii="Arial" w:eastAsia="宋体" w:hAnsi="Arial" w:cs="Arial"/>
                <w:color w:val="444444"/>
                <w:kern w:val="0"/>
                <w:sz w:val="18"/>
                <w:szCs w:val="18"/>
              </w:rPr>
            </w:pPr>
            <w:r w:rsidRPr="008A3021">
              <w:rPr>
                <w:rFonts w:ascii="Arial" w:eastAsia="宋体" w:hAnsi="Arial" w:cs="Arial"/>
                <w:color w:val="444444"/>
                <w:kern w:val="0"/>
                <w:sz w:val="18"/>
                <w:szCs w:val="18"/>
              </w:rPr>
              <w:t> </w:t>
            </w:r>
          </w:p>
        </w:tc>
      </w:tr>
    </w:tbl>
    <w:p w:rsidR="00395B53" w:rsidRPr="008A3021" w:rsidRDefault="00395B53"/>
    <w:sectPr w:rsidR="00395B53" w:rsidRPr="008A3021" w:rsidSect="009B3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A2" w:rsidRDefault="00A778A2" w:rsidP="008A3021">
      <w:r>
        <w:separator/>
      </w:r>
    </w:p>
  </w:endnote>
  <w:endnote w:type="continuationSeparator" w:id="1">
    <w:p w:rsidR="00A778A2" w:rsidRDefault="00A778A2" w:rsidP="008A3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A2" w:rsidRDefault="00A778A2" w:rsidP="008A3021">
      <w:r>
        <w:separator/>
      </w:r>
    </w:p>
  </w:footnote>
  <w:footnote w:type="continuationSeparator" w:id="1">
    <w:p w:rsidR="00A778A2" w:rsidRDefault="00A778A2" w:rsidP="008A3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6985"/>
    <w:multiLevelType w:val="multilevel"/>
    <w:tmpl w:val="A816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9C2190"/>
    <w:multiLevelType w:val="multilevel"/>
    <w:tmpl w:val="9C8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296C71"/>
    <w:multiLevelType w:val="multilevel"/>
    <w:tmpl w:val="1078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681F7E"/>
    <w:multiLevelType w:val="multilevel"/>
    <w:tmpl w:val="93FA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723173"/>
    <w:multiLevelType w:val="multilevel"/>
    <w:tmpl w:val="611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021"/>
    <w:rsid w:val="003156B2"/>
    <w:rsid w:val="00395B53"/>
    <w:rsid w:val="00513DC0"/>
    <w:rsid w:val="008A3021"/>
    <w:rsid w:val="009B3D8C"/>
    <w:rsid w:val="00A778A2"/>
    <w:rsid w:val="00DE3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D8C"/>
    <w:pPr>
      <w:widowControl w:val="0"/>
      <w:jc w:val="both"/>
    </w:pPr>
  </w:style>
  <w:style w:type="paragraph" w:styleId="2">
    <w:name w:val="heading 2"/>
    <w:basedOn w:val="a"/>
    <w:link w:val="2Char"/>
    <w:uiPriority w:val="9"/>
    <w:qFormat/>
    <w:rsid w:val="008A3021"/>
    <w:pPr>
      <w:widowControl/>
      <w:spacing w:before="100" w:beforeAutospacing="1" w:after="180"/>
      <w:jc w:val="left"/>
      <w:outlineLvl w:val="1"/>
    </w:pPr>
    <w:rPr>
      <w:rFonts w:ascii="宋体" w:eastAsia="宋体" w:hAnsi="宋体" w:cs="宋体"/>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021"/>
    <w:rPr>
      <w:sz w:val="18"/>
      <w:szCs w:val="18"/>
    </w:rPr>
  </w:style>
  <w:style w:type="paragraph" w:styleId="a4">
    <w:name w:val="footer"/>
    <w:basedOn w:val="a"/>
    <w:link w:val="Char0"/>
    <w:uiPriority w:val="99"/>
    <w:semiHidden/>
    <w:unhideWhenUsed/>
    <w:rsid w:val="008A3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021"/>
    <w:rPr>
      <w:sz w:val="18"/>
      <w:szCs w:val="18"/>
    </w:rPr>
  </w:style>
  <w:style w:type="character" w:customStyle="1" w:styleId="2Char">
    <w:name w:val="标题 2 Char"/>
    <w:basedOn w:val="a0"/>
    <w:link w:val="2"/>
    <w:uiPriority w:val="9"/>
    <w:rsid w:val="008A3021"/>
    <w:rPr>
      <w:rFonts w:ascii="宋体" w:eastAsia="宋体" w:hAnsi="宋体" w:cs="宋体"/>
      <w:kern w:val="0"/>
      <w:sz w:val="48"/>
      <w:szCs w:val="48"/>
    </w:rPr>
  </w:style>
  <w:style w:type="character" w:styleId="a5">
    <w:name w:val="Hyperlink"/>
    <w:basedOn w:val="a0"/>
    <w:uiPriority w:val="99"/>
    <w:semiHidden/>
    <w:unhideWhenUsed/>
    <w:rsid w:val="008A3021"/>
    <w:rPr>
      <w:color w:val="000099"/>
      <w:u w:val="single"/>
    </w:rPr>
  </w:style>
  <w:style w:type="paragraph" w:styleId="a6">
    <w:name w:val="Balloon Text"/>
    <w:basedOn w:val="a"/>
    <w:link w:val="Char1"/>
    <w:uiPriority w:val="99"/>
    <w:semiHidden/>
    <w:unhideWhenUsed/>
    <w:rsid w:val="008A3021"/>
    <w:rPr>
      <w:sz w:val="18"/>
      <w:szCs w:val="18"/>
    </w:rPr>
  </w:style>
  <w:style w:type="character" w:customStyle="1" w:styleId="Char1">
    <w:name w:val="批注框文本 Char"/>
    <w:basedOn w:val="a0"/>
    <w:link w:val="a6"/>
    <w:uiPriority w:val="99"/>
    <w:semiHidden/>
    <w:rsid w:val="008A3021"/>
    <w:rPr>
      <w:sz w:val="18"/>
      <w:szCs w:val="18"/>
    </w:rPr>
  </w:style>
  <w:style w:type="paragraph" w:styleId="a7">
    <w:name w:val="Normal (Web)"/>
    <w:basedOn w:val="a"/>
    <w:uiPriority w:val="99"/>
    <w:semiHidden/>
    <w:unhideWhenUsed/>
    <w:rsid w:val="008A3021"/>
    <w:pPr>
      <w:widowControl/>
      <w:spacing w:after="360"/>
      <w:jc w:val="left"/>
    </w:pPr>
    <w:rPr>
      <w:rFonts w:ascii="宋体" w:eastAsia="宋体" w:hAnsi="宋体" w:cs="宋体"/>
      <w:kern w:val="0"/>
      <w:sz w:val="18"/>
      <w:szCs w:val="18"/>
    </w:rPr>
  </w:style>
  <w:style w:type="character" w:styleId="a8">
    <w:name w:val="Strong"/>
    <w:basedOn w:val="a0"/>
    <w:uiPriority w:val="22"/>
    <w:qFormat/>
    <w:rsid w:val="008A3021"/>
    <w:rPr>
      <w:b/>
      <w:bCs/>
    </w:rPr>
  </w:style>
  <w:style w:type="paragraph" w:styleId="a9">
    <w:name w:val="No Spacing"/>
    <w:uiPriority w:val="1"/>
    <w:qFormat/>
    <w:rsid w:val="008A3021"/>
    <w:pPr>
      <w:widowControl w:val="0"/>
      <w:jc w:val="both"/>
    </w:pPr>
  </w:style>
</w:styles>
</file>

<file path=word/webSettings.xml><?xml version="1.0" encoding="utf-8"?>
<w:webSettings xmlns:r="http://schemas.openxmlformats.org/officeDocument/2006/relationships" xmlns:w="http://schemas.openxmlformats.org/wordprocessingml/2006/main">
  <w:divs>
    <w:div w:id="124007845">
      <w:bodyDiv w:val="1"/>
      <w:marLeft w:val="0"/>
      <w:marRight w:val="0"/>
      <w:marTop w:val="0"/>
      <w:marBottom w:val="0"/>
      <w:divBdr>
        <w:top w:val="none" w:sz="0" w:space="0" w:color="auto"/>
        <w:left w:val="none" w:sz="0" w:space="0" w:color="auto"/>
        <w:bottom w:val="none" w:sz="0" w:space="0" w:color="auto"/>
        <w:right w:val="none" w:sz="0" w:space="0" w:color="auto"/>
      </w:divBdr>
      <w:divsChild>
        <w:div w:id="1357928074">
          <w:marLeft w:val="0"/>
          <w:marRight w:val="0"/>
          <w:marTop w:val="0"/>
          <w:marBottom w:val="0"/>
          <w:divBdr>
            <w:top w:val="none" w:sz="0" w:space="0" w:color="auto"/>
            <w:left w:val="none" w:sz="0" w:space="0" w:color="auto"/>
            <w:bottom w:val="none" w:sz="0" w:space="0" w:color="auto"/>
            <w:right w:val="none" w:sz="0" w:space="0" w:color="auto"/>
          </w:divBdr>
          <w:divsChild>
            <w:div w:id="1120222354">
              <w:marLeft w:val="0"/>
              <w:marRight w:val="0"/>
              <w:marTop w:val="0"/>
              <w:marBottom w:val="0"/>
              <w:divBdr>
                <w:top w:val="none" w:sz="0" w:space="0" w:color="auto"/>
                <w:left w:val="none" w:sz="0" w:space="0" w:color="auto"/>
                <w:bottom w:val="none" w:sz="0" w:space="0" w:color="auto"/>
                <w:right w:val="none" w:sz="0" w:space="0" w:color="auto"/>
              </w:divBdr>
              <w:divsChild>
                <w:div w:id="1104765517">
                  <w:marLeft w:val="0"/>
                  <w:marRight w:val="0"/>
                  <w:marTop w:val="0"/>
                  <w:marBottom w:val="0"/>
                  <w:divBdr>
                    <w:top w:val="none" w:sz="0" w:space="0" w:color="auto"/>
                    <w:left w:val="none" w:sz="0" w:space="0" w:color="auto"/>
                    <w:bottom w:val="none" w:sz="0" w:space="0" w:color="auto"/>
                    <w:right w:val="none" w:sz="0" w:space="0" w:color="auto"/>
                  </w:divBdr>
                  <w:divsChild>
                    <w:div w:id="666128051">
                      <w:marLeft w:val="0"/>
                      <w:marRight w:val="0"/>
                      <w:marTop w:val="0"/>
                      <w:marBottom w:val="0"/>
                      <w:divBdr>
                        <w:top w:val="none" w:sz="0" w:space="0" w:color="auto"/>
                        <w:left w:val="none" w:sz="0" w:space="0" w:color="auto"/>
                        <w:bottom w:val="none" w:sz="0" w:space="0" w:color="auto"/>
                        <w:right w:val="none" w:sz="0" w:space="0" w:color="auto"/>
                      </w:divBdr>
                      <w:divsChild>
                        <w:div w:id="475146838">
                          <w:marLeft w:val="0"/>
                          <w:marRight w:val="0"/>
                          <w:marTop w:val="0"/>
                          <w:marBottom w:val="0"/>
                          <w:divBdr>
                            <w:top w:val="none" w:sz="0" w:space="0" w:color="auto"/>
                            <w:left w:val="none" w:sz="0" w:space="0" w:color="auto"/>
                            <w:bottom w:val="none" w:sz="0" w:space="0" w:color="auto"/>
                            <w:right w:val="none" w:sz="0" w:space="0" w:color="auto"/>
                          </w:divBdr>
                          <w:divsChild>
                            <w:div w:id="1702168937">
                              <w:marLeft w:val="0"/>
                              <w:marRight w:val="0"/>
                              <w:marTop w:val="0"/>
                              <w:marBottom w:val="0"/>
                              <w:divBdr>
                                <w:top w:val="none" w:sz="0" w:space="0" w:color="auto"/>
                                <w:left w:val="none" w:sz="0" w:space="0" w:color="auto"/>
                                <w:bottom w:val="none" w:sz="0" w:space="0" w:color="auto"/>
                                <w:right w:val="none" w:sz="0" w:space="0" w:color="auto"/>
                              </w:divBdr>
                              <w:divsChild>
                                <w:div w:id="281456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1597">
      <w:bodyDiv w:val="1"/>
      <w:marLeft w:val="0"/>
      <w:marRight w:val="0"/>
      <w:marTop w:val="0"/>
      <w:marBottom w:val="0"/>
      <w:divBdr>
        <w:top w:val="none" w:sz="0" w:space="0" w:color="auto"/>
        <w:left w:val="none" w:sz="0" w:space="0" w:color="auto"/>
        <w:bottom w:val="none" w:sz="0" w:space="0" w:color="auto"/>
        <w:right w:val="none" w:sz="0" w:space="0" w:color="auto"/>
      </w:divBdr>
      <w:divsChild>
        <w:div w:id="1965504022">
          <w:marLeft w:val="0"/>
          <w:marRight w:val="0"/>
          <w:marTop w:val="0"/>
          <w:marBottom w:val="0"/>
          <w:divBdr>
            <w:top w:val="none" w:sz="0" w:space="0" w:color="auto"/>
            <w:left w:val="none" w:sz="0" w:space="0" w:color="auto"/>
            <w:bottom w:val="none" w:sz="0" w:space="0" w:color="auto"/>
            <w:right w:val="none" w:sz="0" w:space="0" w:color="auto"/>
          </w:divBdr>
          <w:divsChild>
            <w:div w:id="1248540499">
              <w:marLeft w:val="0"/>
              <w:marRight w:val="0"/>
              <w:marTop w:val="0"/>
              <w:marBottom w:val="0"/>
              <w:divBdr>
                <w:top w:val="none" w:sz="0" w:space="0" w:color="auto"/>
                <w:left w:val="none" w:sz="0" w:space="0" w:color="auto"/>
                <w:bottom w:val="none" w:sz="0" w:space="0" w:color="auto"/>
                <w:right w:val="none" w:sz="0" w:space="0" w:color="auto"/>
              </w:divBdr>
              <w:divsChild>
                <w:div w:id="238251241">
                  <w:marLeft w:val="0"/>
                  <w:marRight w:val="0"/>
                  <w:marTop w:val="0"/>
                  <w:marBottom w:val="0"/>
                  <w:divBdr>
                    <w:top w:val="none" w:sz="0" w:space="0" w:color="auto"/>
                    <w:left w:val="none" w:sz="0" w:space="0" w:color="auto"/>
                    <w:bottom w:val="none" w:sz="0" w:space="0" w:color="auto"/>
                    <w:right w:val="none" w:sz="0" w:space="0" w:color="auto"/>
                  </w:divBdr>
                  <w:divsChild>
                    <w:div w:id="191115918">
                      <w:marLeft w:val="0"/>
                      <w:marRight w:val="0"/>
                      <w:marTop w:val="0"/>
                      <w:marBottom w:val="0"/>
                      <w:divBdr>
                        <w:top w:val="none" w:sz="0" w:space="0" w:color="auto"/>
                        <w:left w:val="none" w:sz="0" w:space="0" w:color="auto"/>
                        <w:bottom w:val="none" w:sz="0" w:space="0" w:color="auto"/>
                        <w:right w:val="none" w:sz="0" w:space="0" w:color="auto"/>
                      </w:divBdr>
                      <w:divsChild>
                        <w:div w:id="1418985752">
                          <w:marLeft w:val="0"/>
                          <w:marRight w:val="0"/>
                          <w:marTop w:val="0"/>
                          <w:marBottom w:val="0"/>
                          <w:divBdr>
                            <w:top w:val="none" w:sz="0" w:space="0" w:color="auto"/>
                            <w:left w:val="none" w:sz="0" w:space="0" w:color="auto"/>
                            <w:bottom w:val="none" w:sz="0" w:space="0" w:color="auto"/>
                            <w:right w:val="none" w:sz="0" w:space="0" w:color="auto"/>
                          </w:divBdr>
                          <w:divsChild>
                            <w:div w:id="1309093256">
                              <w:marLeft w:val="0"/>
                              <w:marRight w:val="0"/>
                              <w:marTop w:val="0"/>
                              <w:marBottom w:val="0"/>
                              <w:divBdr>
                                <w:top w:val="none" w:sz="0" w:space="0" w:color="auto"/>
                                <w:left w:val="none" w:sz="0" w:space="0" w:color="auto"/>
                                <w:bottom w:val="none" w:sz="0" w:space="0" w:color="auto"/>
                                <w:right w:val="none" w:sz="0" w:space="0" w:color="auto"/>
                              </w:divBdr>
                              <w:divsChild>
                                <w:div w:id="18292491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55810">
      <w:bodyDiv w:val="1"/>
      <w:marLeft w:val="0"/>
      <w:marRight w:val="0"/>
      <w:marTop w:val="0"/>
      <w:marBottom w:val="0"/>
      <w:divBdr>
        <w:top w:val="none" w:sz="0" w:space="0" w:color="auto"/>
        <w:left w:val="none" w:sz="0" w:space="0" w:color="auto"/>
        <w:bottom w:val="none" w:sz="0" w:space="0" w:color="auto"/>
        <w:right w:val="none" w:sz="0" w:space="0" w:color="auto"/>
      </w:divBdr>
      <w:divsChild>
        <w:div w:id="824931828">
          <w:marLeft w:val="0"/>
          <w:marRight w:val="0"/>
          <w:marTop w:val="0"/>
          <w:marBottom w:val="0"/>
          <w:divBdr>
            <w:top w:val="none" w:sz="0" w:space="0" w:color="auto"/>
            <w:left w:val="none" w:sz="0" w:space="0" w:color="auto"/>
            <w:bottom w:val="none" w:sz="0" w:space="0" w:color="auto"/>
            <w:right w:val="none" w:sz="0" w:space="0" w:color="auto"/>
          </w:divBdr>
          <w:divsChild>
            <w:div w:id="398092593">
              <w:marLeft w:val="0"/>
              <w:marRight w:val="0"/>
              <w:marTop w:val="0"/>
              <w:marBottom w:val="0"/>
              <w:divBdr>
                <w:top w:val="none" w:sz="0" w:space="0" w:color="auto"/>
                <w:left w:val="none" w:sz="0" w:space="0" w:color="auto"/>
                <w:bottom w:val="none" w:sz="0" w:space="0" w:color="auto"/>
                <w:right w:val="none" w:sz="0" w:space="0" w:color="auto"/>
              </w:divBdr>
              <w:divsChild>
                <w:div w:id="426536298">
                  <w:marLeft w:val="0"/>
                  <w:marRight w:val="0"/>
                  <w:marTop w:val="0"/>
                  <w:marBottom w:val="0"/>
                  <w:divBdr>
                    <w:top w:val="none" w:sz="0" w:space="0" w:color="auto"/>
                    <w:left w:val="none" w:sz="0" w:space="0" w:color="auto"/>
                    <w:bottom w:val="none" w:sz="0" w:space="0" w:color="auto"/>
                    <w:right w:val="none" w:sz="0" w:space="0" w:color="auto"/>
                  </w:divBdr>
                  <w:divsChild>
                    <w:div w:id="1635138581">
                      <w:marLeft w:val="0"/>
                      <w:marRight w:val="0"/>
                      <w:marTop w:val="0"/>
                      <w:marBottom w:val="0"/>
                      <w:divBdr>
                        <w:top w:val="none" w:sz="0" w:space="0" w:color="auto"/>
                        <w:left w:val="none" w:sz="0" w:space="0" w:color="auto"/>
                        <w:bottom w:val="none" w:sz="0" w:space="0" w:color="auto"/>
                        <w:right w:val="none" w:sz="0" w:space="0" w:color="auto"/>
                      </w:divBdr>
                      <w:divsChild>
                        <w:div w:id="558323090">
                          <w:marLeft w:val="0"/>
                          <w:marRight w:val="0"/>
                          <w:marTop w:val="0"/>
                          <w:marBottom w:val="0"/>
                          <w:divBdr>
                            <w:top w:val="none" w:sz="0" w:space="0" w:color="auto"/>
                            <w:left w:val="none" w:sz="0" w:space="0" w:color="auto"/>
                            <w:bottom w:val="none" w:sz="0" w:space="0" w:color="auto"/>
                            <w:right w:val="none" w:sz="0" w:space="0" w:color="auto"/>
                          </w:divBdr>
                          <w:divsChild>
                            <w:div w:id="2128891336">
                              <w:marLeft w:val="0"/>
                              <w:marRight w:val="0"/>
                              <w:marTop w:val="0"/>
                              <w:marBottom w:val="0"/>
                              <w:divBdr>
                                <w:top w:val="none" w:sz="0" w:space="0" w:color="auto"/>
                                <w:left w:val="none" w:sz="0" w:space="0" w:color="auto"/>
                                <w:bottom w:val="none" w:sz="0" w:space="0" w:color="auto"/>
                                <w:right w:val="none" w:sz="0" w:space="0" w:color="auto"/>
                              </w:divBdr>
                              <w:divsChild>
                                <w:div w:id="2135321701">
                                  <w:marLeft w:val="150"/>
                                  <w:marRight w:val="150"/>
                                  <w:marTop w:val="0"/>
                                  <w:marBottom w:val="0"/>
                                  <w:divBdr>
                                    <w:top w:val="none" w:sz="0" w:space="0" w:color="auto"/>
                                    <w:left w:val="none" w:sz="0" w:space="0" w:color="auto"/>
                                    <w:bottom w:val="none" w:sz="0" w:space="0" w:color="auto"/>
                                    <w:right w:val="none" w:sz="0" w:space="0" w:color="auto"/>
                                  </w:divBdr>
                                  <w:divsChild>
                                    <w:div w:id="592862037">
                                      <w:marLeft w:val="0"/>
                                      <w:marRight w:val="0"/>
                                      <w:marTop w:val="0"/>
                                      <w:marBottom w:val="0"/>
                                      <w:divBdr>
                                        <w:top w:val="none" w:sz="0" w:space="0" w:color="auto"/>
                                        <w:left w:val="none" w:sz="0" w:space="0" w:color="auto"/>
                                        <w:bottom w:val="none" w:sz="0" w:space="0" w:color="auto"/>
                                        <w:right w:val="none" w:sz="0" w:space="0" w:color="auto"/>
                                      </w:divBdr>
                                      <w:divsChild>
                                        <w:div w:id="649015097">
                                          <w:marLeft w:val="0"/>
                                          <w:marRight w:val="0"/>
                                          <w:marTop w:val="375"/>
                                          <w:marBottom w:val="0"/>
                                          <w:divBdr>
                                            <w:top w:val="none" w:sz="0" w:space="0" w:color="auto"/>
                                            <w:left w:val="none" w:sz="0" w:space="0" w:color="auto"/>
                                            <w:bottom w:val="none" w:sz="0" w:space="0" w:color="auto"/>
                                            <w:right w:val="none" w:sz="0" w:space="0" w:color="auto"/>
                                          </w:divBdr>
                                          <w:divsChild>
                                            <w:div w:id="967010155">
                                              <w:marLeft w:val="0"/>
                                              <w:marRight w:val="0"/>
                                              <w:marTop w:val="0"/>
                                              <w:marBottom w:val="0"/>
                                              <w:divBdr>
                                                <w:top w:val="single" w:sz="6" w:space="0" w:color="CCCCCC"/>
                                                <w:left w:val="single" w:sz="6" w:space="0" w:color="CCCCCC"/>
                                                <w:bottom w:val="single" w:sz="6" w:space="0" w:color="666666"/>
                                                <w:right w:val="single" w:sz="6" w:space="0" w:color="666666"/>
                                              </w:divBdr>
                                            </w:div>
                                          </w:divsChild>
                                        </w:div>
                                      </w:divsChild>
                                    </w:div>
                                  </w:divsChild>
                                </w:div>
                              </w:divsChild>
                            </w:div>
                          </w:divsChild>
                        </w:div>
                      </w:divsChild>
                    </w:div>
                  </w:divsChild>
                </w:div>
              </w:divsChild>
            </w:div>
          </w:divsChild>
        </w:div>
      </w:divsChild>
    </w:div>
    <w:div w:id="1112628441">
      <w:bodyDiv w:val="1"/>
      <w:marLeft w:val="0"/>
      <w:marRight w:val="0"/>
      <w:marTop w:val="0"/>
      <w:marBottom w:val="0"/>
      <w:divBdr>
        <w:top w:val="none" w:sz="0" w:space="0" w:color="auto"/>
        <w:left w:val="none" w:sz="0" w:space="0" w:color="auto"/>
        <w:bottom w:val="none" w:sz="0" w:space="0" w:color="auto"/>
        <w:right w:val="none" w:sz="0" w:space="0" w:color="auto"/>
      </w:divBdr>
      <w:divsChild>
        <w:div w:id="1322196198">
          <w:marLeft w:val="0"/>
          <w:marRight w:val="0"/>
          <w:marTop w:val="0"/>
          <w:marBottom w:val="0"/>
          <w:divBdr>
            <w:top w:val="none" w:sz="0" w:space="0" w:color="auto"/>
            <w:left w:val="none" w:sz="0" w:space="0" w:color="auto"/>
            <w:bottom w:val="none" w:sz="0" w:space="0" w:color="auto"/>
            <w:right w:val="none" w:sz="0" w:space="0" w:color="auto"/>
          </w:divBdr>
          <w:divsChild>
            <w:div w:id="2137946079">
              <w:marLeft w:val="0"/>
              <w:marRight w:val="0"/>
              <w:marTop w:val="0"/>
              <w:marBottom w:val="0"/>
              <w:divBdr>
                <w:top w:val="none" w:sz="0" w:space="0" w:color="auto"/>
                <w:left w:val="none" w:sz="0" w:space="0" w:color="auto"/>
                <w:bottom w:val="none" w:sz="0" w:space="0" w:color="auto"/>
                <w:right w:val="none" w:sz="0" w:space="0" w:color="auto"/>
              </w:divBdr>
              <w:divsChild>
                <w:div w:id="723871047">
                  <w:marLeft w:val="0"/>
                  <w:marRight w:val="0"/>
                  <w:marTop w:val="0"/>
                  <w:marBottom w:val="0"/>
                  <w:divBdr>
                    <w:top w:val="none" w:sz="0" w:space="0" w:color="auto"/>
                    <w:left w:val="none" w:sz="0" w:space="0" w:color="auto"/>
                    <w:bottom w:val="none" w:sz="0" w:space="0" w:color="auto"/>
                    <w:right w:val="none" w:sz="0" w:space="0" w:color="auto"/>
                  </w:divBdr>
                  <w:divsChild>
                    <w:div w:id="1449274359">
                      <w:marLeft w:val="0"/>
                      <w:marRight w:val="0"/>
                      <w:marTop w:val="0"/>
                      <w:marBottom w:val="0"/>
                      <w:divBdr>
                        <w:top w:val="none" w:sz="0" w:space="0" w:color="auto"/>
                        <w:left w:val="none" w:sz="0" w:space="0" w:color="auto"/>
                        <w:bottom w:val="none" w:sz="0" w:space="0" w:color="auto"/>
                        <w:right w:val="none" w:sz="0" w:space="0" w:color="auto"/>
                      </w:divBdr>
                      <w:divsChild>
                        <w:div w:id="1094470577">
                          <w:marLeft w:val="0"/>
                          <w:marRight w:val="0"/>
                          <w:marTop w:val="0"/>
                          <w:marBottom w:val="0"/>
                          <w:divBdr>
                            <w:top w:val="none" w:sz="0" w:space="0" w:color="auto"/>
                            <w:left w:val="none" w:sz="0" w:space="0" w:color="auto"/>
                            <w:bottom w:val="none" w:sz="0" w:space="0" w:color="auto"/>
                            <w:right w:val="none" w:sz="0" w:space="0" w:color="auto"/>
                          </w:divBdr>
                          <w:divsChild>
                            <w:div w:id="498623737">
                              <w:marLeft w:val="0"/>
                              <w:marRight w:val="0"/>
                              <w:marTop w:val="0"/>
                              <w:marBottom w:val="0"/>
                              <w:divBdr>
                                <w:top w:val="none" w:sz="0" w:space="0" w:color="auto"/>
                                <w:left w:val="none" w:sz="0" w:space="0" w:color="auto"/>
                                <w:bottom w:val="none" w:sz="0" w:space="0" w:color="auto"/>
                                <w:right w:val="none" w:sz="0" w:space="0" w:color="auto"/>
                              </w:divBdr>
                              <w:divsChild>
                                <w:div w:id="10933566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08575">
      <w:bodyDiv w:val="1"/>
      <w:marLeft w:val="0"/>
      <w:marRight w:val="0"/>
      <w:marTop w:val="0"/>
      <w:marBottom w:val="0"/>
      <w:divBdr>
        <w:top w:val="none" w:sz="0" w:space="0" w:color="auto"/>
        <w:left w:val="none" w:sz="0" w:space="0" w:color="auto"/>
        <w:bottom w:val="none" w:sz="0" w:space="0" w:color="auto"/>
        <w:right w:val="none" w:sz="0" w:space="0" w:color="auto"/>
      </w:divBdr>
      <w:divsChild>
        <w:div w:id="655258741">
          <w:marLeft w:val="0"/>
          <w:marRight w:val="0"/>
          <w:marTop w:val="0"/>
          <w:marBottom w:val="0"/>
          <w:divBdr>
            <w:top w:val="none" w:sz="0" w:space="0" w:color="auto"/>
            <w:left w:val="none" w:sz="0" w:space="0" w:color="auto"/>
            <w:bottom w:val="none" w:sz="0" w:space="0" w:color="auto"/>
            <w:right w:val="none" w:sz="0" w:space="0" w:color="auto"/>
          </w:divBdr>
          <w:divsChild>
            <w:div w:id="416489031">
              <w:marLeft w:val="0"/>
              <w:marRight w:val="0"/>
              <w:marTop w:val="0"/>
              <w:marBottom w:val="0"/>
              <w:divBdr>
                <w:top w:val="none" w:sz="0" w:space="0" w:color="auto"/>
                <w:left w:val="none" w:sz="0" w:space="0" w:color="auto"/>
                <w:bottom w:val="none" w:sz="0" w:space="0" w:color="auto"/>
                <w:right w:val="none" w:sz="0" w:space="0" w:color="auto"/>
              </w:divBdr>
              <w:divsChild>
                <w:div w:id="1610114946">
                  <w:marLeft w:val="0"/>
                  <w:marRight w:val="0"/>
                  <w:marTop w:val="0"/>
                  <w:marBottom w:val="0"/>
                  <w:divBdr>
                    <w:top w:val="none" w:sz="0" w:space="0" w:color="auto"/>
                    <w:left w:val="none" w:sz="0" w:space="0" w:color="auto"/>
                    <w:bottom w:val="none" w:sz="0" w:space="0" w:color="auto"/>
                    <w:right w:val="none" w:sz="0" w:space="0" w:color="auto"/>
                  </w:divBdr>
                  <w:divsChild>
                    <w:div w:id="1087724536">
                      <w:marLeft w:val="0"/>
                      <w:marRight w:val="0"/>
                      <w:marTop w:val="0"/>
                      <w:marBottom w:val="0"/>
                      <w:divBdr>
                        <w:top w:val="none" w:sz="0" w:space="0" w:color="auto"/>
                        <w:left w:val="none" w:sz="0" w:space="0" w:color="auto"/>
                        <w:bottom w:val="none" w:sz="0" w:space="0" w:color="auto"/>
                        <w:right w:val="none" w:sz="0" w:space="0" w:color="auto"/>
                      </w:divBdr>
                      <w:divsChild>
                        <w:div w:id="704596692">
                          <w:marLeft w:val="0"/>
                          <w:marRight w:val="0"/>
                          <w:marTop w:val="0"/>
                          <w:marBottom w:val="0"/>
                          <w:divBdr>
                            <w:top w:val="none" w:sz="0" w:space="0" w:color="auto"/>
                            <w:left w:val="none" w:sz="0" w:space="0" w:color="auto"/>
                            <w:bottom w:val="none" w:sz="0" w:space="0" w:color="auto"/>
                            <w:right w:val="none" w:sz="0" w:space="0" w:color="auto"/>
                          </w:divBdr>
                          <w:divsChild>
                            <w:div w:id="2061702857">
                              <w:marLeft w:val="0"/>
                              <w:marRight w:val="0"/>
                              <w:marTop w:val="0"/>
                              <w:marBottom w:val="0"/>
                              <w:divBdr>
                                <w:top w:val="none" w:sz="0" w:space="0" w:color="auto"/>
                                <w:left w:val="none" w:sz="0" w:space="0" w:color="auto"/>
                                <w:bottom w:val="none" w:sz="0" w:space="0" w:color="auto"/>
                                <w:right w:val="none" w:sz="0" w:space="0" w:color="auto"/>
                              </w:divBdr>
                              <w:divsChild>
                                <w:div w:id="11400721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39631">
      <w:bodyDiv w:val="1"/>
      <w:marLeft w:val="0"/>
      <w:marRight w:val="0"/>
      <w:marTop w:val="0"/>
      <w:marBottom w:val="0"/>
      <w:divBdr>
        <w:top w:val="none" w:sz="0" w:space="0" w:color="auto"/>
        <w:left w:val="none" w:sz="0" w:space="0" w:color="auto"/>
        <w:bottom w:val="none" w:sz="0" w:space="0" w:color="auto"/>
        <w:right w:val="none" w:sz="0" w:space="0" w:color="auto"/>
      </w:divBdr>
      <w:divsChild>
        <w:div w:id="64884990">
          <w:marLeft w:val="0"/>
          <w:marRight w:val="0"/>
          <w:marTop w:val="0"/>
          <w:marBottom w:val="0"/>
          <w:divBdr>
            <w:top w:val="none" w:sz="0" w:space="0" w:color="auto"/>
            <w:left w:val="none" w:sz="0" w:space="0" w:color="auto"/>
            <w:bottom w:val="none" w:sz="0" w:space="0" w:color="auto"/>
            <w:right w:val="none" w:sz="0" w:space="0" w:color="auto"/>
          </w:divBdr>
          <w:divsChild>
            <w:div w:id="900989165">
              <w:marLeft w:val="0"/>
              <w:marRight w:val="0"/>
              <w:marTop w:val="0"/>
              <w:marBottom w:val="0"/>
              <w:divBdr>
                <w:top w:val="none" w:sz="0" w:space="0" w:color="auto"/>
                <w:left w:val="none" w:sz="0" w:space="0" w:color="auto"/>
                <w:bottom w:val="none" w:sz="0" w:space="0" w:color="auto"/>
                <w:right w:val="none" w:sz="0" w:space="0" w:color="auto"/>
              </w:divBdr>
              <w:divsChild>
                <w:div w:id="2089113891">
                  <w:marLeft w:val="0"/>
                  <w:marRight w:val="0"/>
                  <w:marTop w:val="0"/>
                  <w:marBottom w:val="0"/>
                  <w:divBdr>
                    <w:top w:val="none" w:sz="0" w:space="0" w:color="auto"/>
                    <w:left w:val="none" w:sz="0" w:space="0" w:color="auto"/>
                    <w:bottom w:val="none" w:sz="0" w:space="0" w:color="auto"/>
                    <w:right w:val="none" w:sz="0" w:space="0" w:color="auto"/>
                  </w:divBdr>
                  <w:divsChild>
                    <w:div w:id="2144033922">
                      <w:marLeft w:val="0"/>
                      <w:marRight w:val="0"/>
                      <w:marTop w:val="0"/>
                      <w:marBottom w:val="0"/>
                      <w:divBdr>
                        <w:top w:val="none" w:sz="0" w:space="0" w:color="auto"/>
                        <w:left w:val="none" w:sz="0" w:space="0" w:color="auto"/>
                        <w:bottom w:val="none" w:sz="0" w:space="0" w:color="auto"/>
                        <w:right w:val="none" w:sz="0" w:space="0" w:color="auto"/>
                      </w:divBdr>
                      <w:divsChild>
                        <w:div w:id="46270838">
                          <w:marLeft w:val="0"/>
                          <w:marRight w:val="0"/>
                          <w:marTop w:val="0"/>
                          <w:marBottom w:val="0"/>
                          <w:divBdr>
                            <w:top w:val="none" w:sz="0" w:space="0" w:color="auto"/>
                            <w:left w:val="none" w:sz="0" w:space="0" w:color="auto"/>
                            <w:bottom w:val="none" w:sz="0" w:space="0" w:color="auto"/>
                            <w:right w:val="none" w:sz="0" w:space="0" w:color="auto"/>
                          </w:divBdr>
                          <w:divsChild>
                            <w:div w:id="1526482405">
                              <w:marLeft w:val="0"/>
                              <w:marRight w:val="0"/>
                              <w:marTop w:val="0"/>
                              <w:marBottom w:val="0"/>
                              <w:divBdr>
                                <w:top w:val="none" w:sz="0" w:space="0" w:color="auto"/>
                                <w:left w:val="none" w:sz="0" w:space="0" w:color="auto"/>
                                <w:bottom w:val="none" w:sz="0" w:space="0" w:color="auto"/>
                                <w:right w:val="none" w:sz="0" w:space="0" w:color="auto"/>
                              </w:divBdr>
                              <w:divsChild>
                                <w:div w:id="19050984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51802">
      <w:bodyDiv w:val="1"/>
      <w:marLeft w:val="0"/>
      <w:marRight w:val="0"/>
      <w:marTop w:val="0"/>
      <w:marBottom w:val="0"/>
      <w:divBdr>
        <w:top w:val="none" w:sz="0" w:space="0" w:color="auto"/>
        <w:left w:val="none" w:sz="0" w:space="0" w:color="auto"/>
        <w:bottom w:val="none" w:sz="0" w:space="0" w:color="auto"/>
        <w:right w:val="none" w:sz="0" w:space="0" w:color="auto"/>
      </w:divBdr>
      <w:divsChild>
        <w:div w:id="1619332457">
          <w:marLeft w:val="0"/>
          <w:marRight w:val="0"/>
          <w:marTop w:val="0"/>
          <w:marBottom w:val="0"/>
          <w:divBdr>
            <w:top w:val="none" w:sz="0" w:space="0" w:color="auto"/>
            <w:left w:val="none" w:sz="0" w:space="0" w:color="auto"/>
            <w:bottom w:val="none" w:sz="0" w:space="0" w:color="auto"/>
            <w:right w:val="none" w:sz="0" w:space="0" w:color="auto"/>
          </w:divBdr>
          <w:divsChild>
            <w:div w:id="1227037016">
              <w:marLeft w:val="0"/>
              <w:marRight w:val="0"/>
              <w:marTop w:val="0"/>
              <w:marBottom w:val="0"/>
              <w:divBdr>
                <w:top w:val="none" w:sz="0" w:space="0" w:color="auto"/>
                <w:left w:val="none" w:sz="0" w:space="0" w:color="auto"/>
                <w:bottom w:val="none" w:sz="0" w:space="0" w:color="auto"/>
                <w:right w:val="none" w:sz="0" w:space="0" w:color="auto"/>
              </w:divBdr>
              <w:divsChild>
                <w:div w:id="449397960">
                  <w:marLeft w:val="0"/>
                  <w:marRight w:val="0"/>
                  <w:marTop w:val="0"/>
                  <w:marBottom w:val="0"/>
                  <w:divBdr>
                    <w:top w:val="none" w:sz="0" w:space="0" w:color="auto"/>
                    <w:left w:val="none" w:sz="0" w:space="0" w:color="auto"/>
                    <w:bottom w:val="none" w:sz="0" w:space="0" w:color="auto"/>
                    <w:right w:val="none" w:sz="0" w:space="0" w:color="auto"/>
                  </w:divBdr>
                  <w:divsChild>
                    <w:div w:id="1823695142">
                      <w:marLeft w:val="0"/>
                      <w:marRight w:val="0"/>
                      <w:marTop w:val="0"/>
                      <w:marBottom w:val="0"/>
                      <w:divBdr>
                        <w:top w:val="none" w:sz="0" w:space="0" w:color="auto"/>
                        <w:left w:val="none" w:sz="0" w:space="0" w:color="auto"/>
                        <w:bottom w:val="none" w:sz="0" w:space="0" w:color="auto"/>
                        <w:right w:val="none" w:sz="0" w:space="0" w:color="auto"/>
                      </w:divBdr>
                      <w:divsChild>
                        <w:div w:id="1705398611">
                          <w:marLeft w:val="0"/>
                          <w:marRight w:val="0"/>
                          <w:marTop w:val="0"/>
                          <w:marBottom w:val="0"/>
                          <w:divBdr>
                            <w:top w:val="none" w:sz="0" w:space="0" w:color="auto"/>
                            <w:left w:val="none" w:sz="0" w:space="0" w:color="auto"/>
                            <w:bottom w:val="none" w:sz="0" w:space="0" w:color="auto"/>
                            <w:right w:val="none" w:sz="0" w:space="0" w:color="auto"/>
                          </w:divBdr>
                          <w:divsChild>
                            <w:div w:id="2062747674">
                              <w:marLeft w:val="0"/>
                              <w:marRight w:val="0"/>
                              <w:marTop w:val="0"/>
                              <w:marBottom w:val="0"/>
                              <w:divBdr>
                                <w:top w:val="none" w:sz="0" w:space="0" w:color="auto"/>
                                <w:left w:val="none" w:sz="0" w:space="0" w:color="auto"/>
                                <w:bottom w:val="none" w:sz="0" w:space="0" w:color="auto"/>
                                <w:right w:val="none" w:sz="0" w:space="0" w:color="auto"/>
                              </w:divBdr>
                              <w:divsChild>
                                <w:div w:id="14779953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n.com" TargetMode="External"/><Relationship Id="rId3" Type="http://schemas.openxmlformats.org/officeDocument/2006/relationships/settings" Target="settings.xml"/><Relationship Id="rId7" Type="http://schemas.openxmlformats.org/officeDocument/2006/relationships/hyperlink" Target="http://investors.micron.com/event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obenewswire.com/newsroom/prs/?pkgid=69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1114</Words>
  <Characters>6355</Characters>
  <Application>Microsoft Office Word</Application>
  <DocSecurity>0</DocSecurity>
  <Lines>52</Lines>
  <Paragraphs>14</Paragraphs>
  <ScaleCrop>false</ScaleCrop>
  <Company>ChinaFlashMarket</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dc:creator>
  <cp:keywords/>
  <dc:description/>
  <cp:lastModifiedBy>BJ2</cp:lastModifiedBy>
  <cp:revision>6</cp:revision>
  <dcterms:created xsi:type="dcterms:W3CDTF">2011-12-22T03:20:00Z</dcterms:created>
  <dcterms:modified xsi:type="dcterms:W3CDTF">2011-12-22T04:16:00Z</dcterms:modified>
</cp:coreProperties>
</file>